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09" w:rsidRDefault="00AE0F09" w:rsidP="0081496D">
      <w:pPr>
        <w:autoSpaceDE w:val="0"/>
        <w:autoSpaceDN w:val="0"/>
        <w:adjustRightInd w:val="0"/>
        <w:rPr>
          <w:rFonts w:ascii="AdvPSPAL-R" w:hAnsi="AdvPSPAL-R" w:cs="AdvPSPAL-R"/>
          <w:sz w:val="56"/>
          <w:szCs w:val="56"/>
        </w:rPr>
      </w:pPr>
    </w:p>
    <w:p w:rsidR="00AE0F09" w:rsidRDefault="00AE0F09" w:rsidP="0081496D">
      <w:pPr>
        <w:autoSpaceDE w:val="0"/>
        <w:autoSpaceDN w:val="0"/>
        <w:adjustRightInd w:val="0"/>
        <w:rPr>
          <w:rFonts w:ascii="AdvPSPAL-R" w:hAnsi="AdvPSPAL-R" w:cs="AdvPSPAL-R"/>
          <w:sz w:val="56"/>
          <w:szCs w:val="56"/>
        </w:rPr>
      </w:pPr>
    </w:p>
    <w:p w:rsidR="00D70B74" w:rsidRPr="006C298A" w:rsidRDefault="00D70B74" w:rsidP="0081496D">
      <w:pPr>
        <w:autoSpaceDE w:val="0"/>
        <w:autoSpaceDN w:val="0"/>
        <w:adjustRightInd w:val="0"/>
        <w:rPr>
          <w:sz w:val="56"/>
          <w:szCs w:val="56"/>
        </w:rPr>
      </w:pPr>
      <w:r w:rsidRPr="006C298A">
        <w:rPr>
          <w:rFonts w:ascii="AdvPSPAL-R" w:hAnsi="AdvPSPAL-R" w:cs="AdvPSPAL-R"/>
          <w:sz w:val="56"/>
          <w:szCs w:val="56"/>
        </w:rPr>
        <w:t>This push for mainstream teachers to teach high-level content to all students, including all levels of ELLs, creates a challenging instructional environment. Most mainstream teachers have little professional preparation for teaching content to ELLs, let alone the</w:t>
      </w:r>
      <w:r>
        <w:rPr>
          <w:rFonts w:ascii="AdvPSPAL-R" w:hAnsi="AdvPSPAL-R" w:cs="AdvPSPAL-R"/>
          <w:sz w:val="56"/>
          <w:szCs w:val="56"/>
        </w:rPr>
        <w:t xml:space="preserve"> </w:t>
      </w:r>
      <w:r w:rsidRPr="006C298A">
        <w:rPr>
          <w:rFonts w:ascii="AdvPSPAL-R" w:hAnsi="AdvPSPAL-R" w:cs="AdvPSPAL-R"/>
          <w:sz w:val="56"/>
          <w:szCs w:val="56"/>
        </w:rPr>
        <w:t>linguistic knowledge to effectively meet the academic language development demands that these students require. (446)</w:t>
      </w:r>
    </w:p>
    <w:p w:rsidR="00D70B74" w:rsidRDefault="00D70B74">
      <w:pPr>
        <w:rPr>
          <w:sz w:val="56"/>
          <w:szCs w:val="56"/>
        </w:rPr>
      </w:pPr>
    </w:p>
    <w:p w:rsidR="00D70B74" w:rsidRDefault="00D70B74">
      <w:pPr>
        <w:rPr>
          <w:sz w:val="56"/>
          <w:szCs w:val="56"/>
        </w:rPr>
      </w:pPr>
    </w:p>
    <w:p w:rsidR="00D70B74" w:rsidRPr="006C298A" w:rsidRDefault="00D70B74">
      <w:pPr>
        <w:rPr>
          <w:sz w:val="56"/>
          <w:szCs w:val="56"/>
        </w:rPr>
      </w:pPr>
    </w:p>
    <w:p w:rsidR="00D70B74" w:rsidRPr="006C298A" w:rsidRDefault="00D70B74">
      <w:pPr>
        <w:rPr>
          <w:sz w:val="56"/>
          <w:szCs w:val="56"/>
        </w:rPr>
      </w:pPr>
    </w:p>
    <w:p w:rsidR="00AE0F09" w:rsidRDefault="00AE0F09" w:rsidP="0081496D">
      <w:pPr>
        <w:autoSpaceDE w:val="0"/>
        <w:autoSpaceDN w:val="0"/>
        <w:adjustRightInd w:val="0"/>
        <w:rPr>
          <w:rFonts w:ascii="AdvPSPAL-R" w:hAnsi="AdvPSPAL-R" w:cs="AdvPSPAL-R"/>
          <w:sz w:val="56"/>
          <w:szCs w:val="56"/>
        </w:rPr>
      </w:pPr>
    </w:p>
    <w:p w:rsidR="00AE0F09" w:rsidRDefault="00AE0F09" w:rsidP="0081496D">
      <w:pPr>
        <w:autoSpaceDE w:val="0"/>
        <w:autoSpaceDN w:val="0"/>
        <w:adjustRightInd w:val="0"/>
        <w:rPr>
          <w:rFonts w:ascii="AdvPSPAL-R" w:hAnsi="AdvPSPAL-R" w:cs="AdvPSPAL-R"/>
          <w:sz w:val="56"/>
          <w:szCs w:val="56"/>
        </w:rPr>
      </w:pPr>
    </w:p>
    <w:p w:rsidR="00AE0F09" w:rsidRDefault="00AE0F09" w:rsidP="0081496D">
      <w:pPr>
        <w:autoSpaceDE w:val="0"/>
        <w:autoSpaceDN w:val="0"/>
        <w:adjustRightInd w:val="0"/>
        <w:rPr>
          <w:rFonts w:ascii="AdvPSPAL-R" w:hAnsi="AdvPSPAL-R" w:cs="AdvPSPAL-R"/>
          <w:sz w:val="56"/>
          <w:szCs w:val="56"/>
        </w:rPr>
      </w:pPr>
    </w:p>
    <w:p w:rsidR="00AE0F09" w:rsidRDefault="00AE0F09" w:rsidP="0081496D">
      <w:pPr>
        <w:autoSpaceDE w:val="0"/>
        <w:autoSpaceDN w:val="0"/>
        <w:adjustRightInd w:val="0"/>
        <w:rPr>
          <w:rFonts w:ascii="AdvPSPAL-R" w:hAnsi="AdvPSPAL-R" w:cs="AdvPSPAL-R"/>
          <w:sz w:val="56"/>
          <w:szCs w:val="56"/>
        </w:rPr>
      </w:pPr>
    </w:p>
    <w:p w:rsidR="00D70B74" w:rsidRPr="006C298A" w:rsidRDefault="00D70B74" w:rsidP="0081496D">
      <w:pPr>
        <w:autoSpaceDE w:val="0"/>
        <w:autoSpaceDN w:val="0"/>
        <w:adjustRightInd w:val="0"/>
        <w:rPr>
          <w:sz w:val="56"/>
          <w:szCs w:val="56"/>
        </w:rPr>
      </w:pPr>
      <w:r w:rsidRPr="006C298A">
        <w:rPr>
          <w:rFonts w:ascii="AdvPSPAL-R" w:hAnsi="AdvPSPAL-R" w:cs="AdvPSPAL-R"/>
          <w:sz w:val="56"/>
          <w:szCs w:val="56"/>
        </w:rPr>
        <w:t>Although there seems to be a growing consensus on what effective teaching for ELLs in content classrooms might look like</w:t>
      </w:r>
      <w:r>
        <w:rPr>
          <w:rFonts w:ascii="AdvPSPAL-R" w:hAnsi="AdvPSPAL-R" w:cs="AdvPSPAL-R"/>
          <w:sz w:val="56"/>
          <w:szCs w:val="56"/>
        </w:rPr>
        <w:t xml:space="preserve"> </w:t>
      </w:r>
      <w:r w:rsidRPr="006C298A">
        <w:rPr>
          <w:rFonts w:ascii="AdvPSPAL-R" w:hAnsi="AdvPSPAL-R" w:cs="AdvPSPAL-R"/>
          <w:sz w:val="56"/>
          <w:szCs w:val="56"/>
        </w:rPr>
        <w:t>(e.g., use of scaffolding strategies, culturally responsive pedagogy, focus on linguistic demands), less is known about how this ELL responsive instruction is enacted in practice...  Moreover, there is a lack of nuanced understanding of how content teachers develop their capacity for this type of teaching. (449)</w:t>
      </w:r>
    </w:p>
    <w:p w:rsidR="00D70B74" w:rsidRPr="006C298A" w:rsidRDefault="00D70B74" w:rsidP="0081496D">
      <w:pPr>
        <w:autoSpaceDE w:val="0"/>
        <w:autoSpaceDN w:val="0"/>
        <w:adjustRightInd w:val="0"/>
        <w:rPr>
          <w:rFonts w:ascii="AdvPSPAL-R" w:hAnsi="AdvPSPAL-R" w:cs="AdvPSPAL-R"/>
          <w:sz w:val="56"/>
          <w:szCs w:val="56"/>
        </w:rPr>
      </w:pPr>
    </w:p>
    <w:p w:rsidR="00D70B74" w:rsidRDefault="00D70B74" w:rsidP="0081496D">
      <w:pPr>
        <w:autoSpaceDE w:val="0"/>
        <w:autoSpaceDN w:val="0"/>
        <w:adjustRightInd w:val="0"/>
        <w:rPr>
          <w:rFonts w:ascii="AdvPSPAL-R" w:hAnsi="AdvPSPAL-R" w:cs="AdvPSPAL-R"/>
          <w:sz w:val="56"/>
          <w:szCs w:val="56"/>
        </w:rPr>
      </w:pPr>
    </w:p>
    <w:p w:rsidR="00D70B74" w:rsidRDefault="00D70B74" w:rsidP="0081496D">
      <w:pPr>
        <w:autoSpaceDE w:val="0"/>
        <w:autoSpaceDN w:val="0"/>
        <w:adjustRightInd w:val="0"/>
        <w:rPr>
          <w:rFonts w:ascii="AdvPSPAL-R" w:hAnsi="AdvPSPAL-R" w:cs="AdvPSPAL-R"/>
          <w:sz w:val="56"/>
          <w:szCs w:val="56"/>
        </w:rPr>
      </w:pPr>
    </w:p>
    <w:p w:rsidR="00D70B74" w:rsidRDefault="00D70B74" w:rsidP="0081496D">
      <w:pPr>
        <w:autoSpaceDE w:val="0"/>
        <w:autoSpaceDN w:val="0"/>
        <w:adjustRightInd w:val="0"/>
        <w:rPr>
          <w:rFonts w:ascii="AdvPSPAL-R" w:hAnsi="AdvPSPAL-R" w:cs="AdvPSPAL-R"/>
          <w:sz w:val="56"/>
          <w:szCs w:val="56"/>
        </w:rPr>
      </w:pPr>
    </w:p>
    <w:p w:rsidR="00AE0F09" w:rsidRPr="006C298A" w:rsidRDefault="00AE0F09" w:rsidP="0081496D">
      <w:pPr>
        <w:autoSpaceDE w:val="0"/>
        <w:autoSpaceDN w:val="0"/>
        <w:adjustRightInd w:val="0"/>
        <w:rPr>
          <w:rFonts w:ascii="AdvPSPAL-R" w:hAnsi="AdvPSPAL-R" w:cs="AdvPSPAL-R"/>
          <w:sz w:val="56"/>
          <w:szCs w:val="56"/>
        </w:rPr>
      </w:pPr>
      <w:bookmarkStart w:id="0" w:name="_GoBack"/>
      <w:bookmarkEnd w:id="0"/>
    </w:p>
    <w:p w:rsidR="00D70B74" w:rsidRPr="006C298A" w:rsidRDefault="00D70B74" w:rsidP="0081496D">
      <w:pPr>
        <w:autoSpaceDE w:val="0"/>
        <w:autoSpaceDN w:val="0"/>
        <w:adjustRightInd w:val="0"/>
        <w:rPr>
          <w:sz w:val="56"/>
          <w:szCs w:val="56"/>
        </w:rPr>
      </w:pPr>
      <w:r w:rsidRPr="006C298A">
        <w:rPr>
          <w:rFonts w:ascii="AdvPSPAL-R" w:hAnsi="AdvPSPAL-R" w:cs="AdvPSPAL-R"/>
          <w:sz w:val="56"/>
          <w:szCs w:val="56"/>
        </w:rPr>
        <w:t>Collaborative school cultures can lead to improved academic outcomes for ELLs because these environments encourage the</w:t>
      </w:r>
      <w:r>
        <w:rPr>
          <w:rFonts w:ascii="AdvPSPAL-R" w:hAnsi="AdvPSPAL-R" w:cs="AdvPSPAL-R"/>
          <w:sz w:val="56"/>
          <w:szCs w:val="56"/>
        </w:rPr>
        <w:t xml:space="preserve"> </w:t>
      </w:r>
      <w:r w:rsidRPr="006C298A">
        <w:rPr>
          <w:rFonts w:ascii="AdvPSPAL-R" w:hAnsi="AdvPSPAL-R" w:cs="AdvPSPAL-R"/>
          <w:sz w:val="56"/>
          <w:szCs w:val="56"/>
        </w:rPr>
        <w:t>ongoing interaction between ESL teachers and mainstream content teachers. (449)</w:t>
      </w:r>
    </w:p>
    <w:p w:rsidR="00D70B74" w:rsidRPr="006C298A" w:rsidRDefault="00D70B74">
      <w:pPr>
        <w:rPr>
          <w:sz w:val="56"/>
          <w:szCs w:val="56"/>
        </w:rPr>
      </w:pPr>
    </w:p>
    <w:p w:rsidR="00D70B74" w:rsidRPr="006C298A" w:rsidRDefault="00D70B74">
      <w:pPr>
        <w:rPr>
          <w:sz w:val="56"/>
          <w:szCs w:val="56"/>
        </w:rPr>
      </w:pPr>
    </w:p>
    <w:p w:rsidR="00D70B74" w:rsidRPr="006C298A" w:rsidRDefault="00D70B74">
      <w:pPr>
        <w:rPr>
          <w:sz w:val="56"/>
          <w:szCs w:val="56"/>
        </w:rPr>
      </w:pPr>
    </w:p>
    <w:p w:rsidR="00D70B74" w:rsidRDefault="00D70B74">
      <w:pPr>
        <w:rPr>
          <w:sz w:val="56"/>
          <w:szCs w:val="56"/>
        </w:rPr>
      </w:pPr>
    </w:p>
    <w:p w:rsidR="00D70B74" w:rsidRDefault="00D70B74">
      <w:pPr>
        <w:rPr>
          <w:sz w:val="56"/>
          <w:szCs w:val="56"/>
        </w:rPr>
      </w:pPr>
    </w:p>
    <w:p w:rsidR="00D70B74" w:rsidRDefault="00D70B74">
      <w:pPr>
        <w:rPr>
          <w:sz w:val="56"/>
          <w:szCs w:val="56"/>
        </w:rPr>
      </w:pPr>
    </w:p>
    <w:p w:rsidR="00D70B74" w:rsidRDefault="00D70B74">
      <w:pPr>
        <w:rPr>
          <w:sz w:val="56"/>
          <w:szCs w:val="56"/>
        </w:rPr>
      </w:pPr>
    </w:p>
    <w:p w:rsidR="00D70B74" w:rsidRDefault="00D70B74">
      <w:pPr>
        <w:rPr>
          <w:sz w:val="56"/>
          <w:szCs w:val="56"/>
        </w:rPr>
      </w:pPr>
    </w:p>
    <w:p w:rsidR="00D70B74" w:rsidRPr="006C298A" w:rsidRDefault="00D70B74">
      <w:pPr>
        <w:rPr>
          <w:sz w:val="56"/>
          <w:szCs w:val="56"/>
        </w:rPr>
      </w:pPr>
    </w:p>
    <w:p w:rsidR="00D70B74" w:rsidRPr="006C298A" w:rsidRDefault="00D70B74" w:rsidP="0081496D">
      <w:pPr>
        <w:rPr>
          <w:sz w:val="56"/>
          <w:szCs w:val="56"/>
        </w:rPr>
      </w:pPr>
      <w:r w:rsidRPr="006C298A">
        <w:rPr>
          <w:sz w:val="56"/>
          <w:szCs w:val="56"/>
        </w:rPr>
        <w:t>This lack of collaboration across content areas and the tracking of students have the potential to negatively impact linguistic minority students. McLaughlin and Talbert (2001) found that teachers in the high schools they studied “responded to nontraditional students by maintaining conventional routines . . . changing little in how they relate to their students or organize</w:t>
      </w:r>
    </w:p>
    <w:p w:rsidR="00D70B74" w:rsidRPr="006C298A" w:rsidRDefault="00D70B74" w:rsidP="0081496D">
      <w:pPr>
        <w:rPr>
          <w:sz w:val="56"/>
          <w:szCs w:val="56"/>
        </w:rPr>
      </w:pPr>
      <w:r w:rsidRPr="006C298A">
        <w:rPr>
          <w:sz w:val="56"/>
          <w:szCs w:val="56"/>
        </w:rPr>
        <w:t>their subject instruction” (p. 19). (450)</w:t>
      </w:r>
    </w:p>
    <w:p w:rsidR="00D70B74" w:rsidRPr="006C298A" w:rsidRDefault="00D70B74">
      <w:pPr>
        <w:rPr>
          <w:sz w:val="56"/>
          <w:szCs w:val="56"/>
        </w:rPr>
      </w:pPr>
    </w:p>
    <w:p w:rsidR="00D70B74" w:rsidRPr="006C298A" w:rsidRDefault="00D70B74" w:rsidP="005D5C1C">
      <w:pPr>
        <w:rPr>
          <w:sz w:val="56"/>
          <w:szCs w:val="56"/>
        </w:rPr>
      </w:pPr>
    </w:p>
    <w:p w:rsidR="00D70B74" w:rsidRDefault="00D70B74" w:rsidP="005D5C1C">
      <w:pPr>
        <w:rPr>
          <w:sz w:val="56"/>
          <w:szCs w:val="56"/>
        </w:rPr>
      </w:pPr>
    </w:p>
    <w:p w:rsidR="00D70B74" w:rsidRDefault="00D70B74" w:rsidP="005D5C1C">
      <w:pPr>
        <w:rPr>
          <w:sz w:val="56"/>
          <w:szCs w:val="56"/>
        </w:rPr>
      </w:pPr>
    </w:p>
    <w:p w:rsidR="00D70B74" w:rsidRDefault="00D70B74" w:rsidP="005D5C1C">
      <w:pPr>
        <w:rPr>
          <w:sz w:val="56"/>
          <w:szCs w:val="56"/>
        </w:rPr>
      </w:pPr>
    </w:p>
    <w:p w:rsidR="00D70B74" w:rsidRPr="006C298A" w:rsidRDefault="00D70B74" w:rsidP="005D5C1C">
      <w:pPr>
        <w:rPr>
          <w:sz w:val="56"/>
          <w:szCs w:val="56"/>
        </w:rPr>
      </w:pPr>
    </w:p>
    <w:p w:rsidR="00D70B74" w:rsidRPr="006C298A" w:rsidRDefault="00D70B74" w:rsidP="005D5C1C">
      <w:pPr>
        <w:rPr>
          <w:sz w:val="56"/>
          <w:szCs w:val="56"/>
        </w:rPr>
      </w:pPr>
      <w:r w:rsidRPr="006C298A">
        <w:rPr>
          <w:sz w:val="56"/>
          <w:szCs w:val="56"/>
        </w:rPr>
        <w:t>ESL teachers are a potential untapped resource for the mainstream teachers’ learning, if all parties can begin to visualize</w:t>
      </w:r>
      <w:r>
        <w:rPr>
          <w:sz w:val="56"/>
          <w:szCs w:val="56"/>
        </w:rPr>
        <w:t xml:space="preserve"> </w:t>
      </w:r>
      <w:r w:rsidRPr="006C298A">
        <w:rPr>
          <w:sz w:val="56"/>
          <w:szCs w:val="56"/>
        </w:rPr>
        <w:t>teachers with specialized expertise as collaborating partners rather than individuals with sole responsibility for “fixing” second</w:t>
      </w:r>
    </w:p>
    <w:p w:rsidR="00D70B74" w:rsidRPr="006C298A" w:rsidRDefault="00D70B74" w:rsidP="005D5C1C">
      <w:pPr>
        <w:rPr>
          <w:sz w:val="56"/>
          <w:szCs w:val="56"/>
        </w:rPr>
      </w:pPr>
      <w:r w:rsidRPr="006C298A">
        <w:rPr>
          <w:sz w:val="56"/>
          <w:szCs w:val="56"/>
        </w:rPr>
        <w:t>language learners. (451)</w:t>
      </w:r>
    </w:p>
    <w:p w:rsidR="00D70B74" w:rsidRPr="006C298A" w:rsidRDefault="00D70B74">
      <w:pPr>
        <w:rPr>
          <w:sz w:val="56"/>
          <w:szCs w:val="56"/>
        </w:rPr>
      </w:pPr>
    </w:p>
    <w:p w:rsidR="00D70B74" w:rsidRPr="006C298A" w:rsidRDefault="00D70B74">
      <w:pPr>
        <w:rPr>
          <w:sz w:val="56"/>
          <w:szCs w:val="56"/>
        </w:rPr>
      </w:pPr>
    </w:p>
    <w:p w:rsidR="00D70B74" w:rsidRPr="006C298A" w:rsidRDefault="00D70B74">
      <w:pPr>
        <w:rPr>
          <w:sz w:val="56"/>
          <w:szCs w:val="56"/>
        </w:rPr>
      </w:pPr>
    </w:p>
    <w:p w:rsidR="00D70B74" w:rsidRPr="006C298A" w:rsidRDefault="00D70B74">
      <w:pPr>
        <w:rPr>
          <w:sz w:val="56"/>
          <w:szCs w:val="56"/>
        </w:rPr>
      </w:pPr>
    </w:p>
    <w:p w:rsidR="00D70B74" w:rsidRDefault="00D70B74">
      <w:pPr>
        <w:rPr>
          <w:sz w:val="56"/>
          <w:szCs w:val="56"/>
        </w:rPr>
      </w:pPr>
    </w:p>
    <w:p w:rsidR="00D70B74" w:rsidRDefault="00D70B74">
      <w:pPr>
        <w:rPr>
          <w:sz w:val="56"/>
          <w:szCs w:val="56"/>
        </w:rPr>
      </w:pPr>
    </w:p>
    <w:p w:rsidR="00D70B74" w:rsidRDefault="00D70B74">
      <w:pPr>
        <w:rPr>
          <w:sz w:val="56"/>
          <w:szCs w:val="56"/>
        </w:rPr>
      </w:pPr>
    </w:p>
    <w:p w:rsidR="00D70B74" w:rsidRPr="006C298A" w:rsidRDefault="00D70B74">
      <w:pPr>
        <w:rPr>
          <w:sz w:val="56"/>
          <w:szCs w:val="56"/>
        </w:rPr>
      </w:pPr>
    </w:p>
    <w:p w:rsidR="00D70B74" w:rsidRPr="006C298A" w:rsidRDefault="00D70B74" w:rsidP="005D5C1C">
      <w:pPr>
        <w:rPr>
          <w:sz w:val="56"/>
          <w:szCs w:val="56"/>
        </w:rPr>
      </w:pPr>
      <w:r w:rsidRPr="006C298A">
        <w:rPr>
          <w:sz w:val="56"/>
          <w:szCs w:val="56"/>
        </w:rPr>
        <w:t>Developing school cultures and instructional practices that acknowledge the need for all teachers to take responsibility for ELLs will require a shift in teacher thinking. (452)</w:t>
      </w:r>
    </w:p>
    <w:p w:rsidR="00D70B74" w:rsidRPr="006C298A" w:rsidRDefault="00D70B74">
      <w:pPr>
        <w:rPr>
          <w:sz w:val="56"/>
          <w:szCs w:val="56"/>
        </w:rPr>
      </w:pPr>
    </w:p>
    <w:p w:rsidR="00D70B74" w:rsidRPr="006C298A" w:rsidRDefault="00D70B74">
      <w:pPr>
        <w:rPr>
          <w:sz w:val="56"/>
          <w:szCs w:val="56"/>
        </w:rPr>
      </w:pPr>
    </w:p>
    <w:p w:rsidR="00D70B74" w:rsidRPr="006C298A" w:rsidRDefault="00D70B74">
      <w:pPr>
        <w:rPr>
          <w:sz w:val="56"/>
          <w:szCs w:val="56"/>
        </w:rPr>
      </w:pPr>
    </w:p>
    <w:p w:rsidR="00D70B74" w:rsidRPr="006C298A" w:rsidRDefault="00D70B74">
      <w:pPr>
        <w:rPr>
          <w:sz w:val="56"/>
          <w:szCs w:val="56"/>
        </w:rPr>
      </w:pPr>
    </w:p>
    <w:p w:rsidR="00D70B74" w:rsidRPr="006C298A" w:rsidRDefault="00D70B74">
      <w:pPr>
        <w:rPr>
          <w:sz w:val="56"/>
          <w:szCs w:val="56"/>
        </w:rPr>
      </w:pPr>
    </w:p>
    <w:p w:rsidR="00D70B74" w:rsidRDefault="00D70B74">
      <w:pPr>
        <w:rPr>
          <w:sz w:val="56"/>
          <w:szCs w:val="56"/>
        </w:rPr>
      </w:pPr>
    </w:p>
    <w:p w:rsidR="00D70B74" w:rsidRDefault="00D70B74">
      <w:pPr>
        <w:rPr>
          <w:sz w:val="56"/>
          <w:szCs w:val="56"/>
        </w:rPr>
      </w:pPr>
    </w:p>
    <w:p w:rsidR="00D70B74" w:rsidRDefault="00D70B74">
      <w:pPr>
        <w:rPr>
          <w:sz w:val="56"/>
          <w:szCs w:val="56"/>
        </w:rPr>
      </w:pPr>
    </w:p>
    <w:p w:rsidR="00D70B74" w:rsidRDefault="00D70B74">
      <w:pPr>
        <w:rPr>
          <w:sz w:val="56"/>
          <w:szCs w:val="56"/>
        </w:rPr>
      </w:pPr>
    </w:p>
    <w:p w:rsidR="00D70B74" w:rsidRPr="006C298A" w:rsidRDefault="00D70B74">
      <w:pPr>
        <w:rPr>
          <w:sz w:val="56"/>
          <w:szCs w:val="56"/>
        </w:rPr>
      </w:pPr>
    </w:p>
    <w:p w:rsidR="00D70B74" w:rsidRPr="006C298A" w:rsidRDefault="00D70B74" w:rsidP="005D5C1C">
      <w:pPr>
        <w:rPr>
          <w:sz w:val="56"/>
          <w:szCs w:val="56"/>
        </w:rPr>
      </w:pPr>
      <w:proofErr w:type="spellStart"/>
      <w:r w:rsidRPr="006C298A">
        <w:rPr>
          <w:sz w:val="56"/>
          <w:szCs w:val="56"/>
        </w:rPr>
        <w:t>Schoolwide</w:t>
      </w:r>
      <w:proofErr w:type="spellEnd"/>
      <w:r w:rsidRPr="006C298A">
        <w:rPr>
          <w:sz w:val="56"/>
          <w:szCs w:val="56"/>
        </w:rPr>
        <w:t xml:space="preserve"> supports for ELLs included (1) common organizational and instructional practices and (2) aligning ESL program design and supports for teachers. These supports emerged from the data as significant to the overall experience for ELLs in this inclusion context. (456)</w:t>
      </w:r>
    </w:p>
    <w:p w:rsidR="00D70B74" w:rsidRPr="006C298A" w:rsidRDefault="00D70B74">
      <w:pPr>
        <w:rPr>
          <w:sz w:val="56"/>
          <w:szCs w:val="56"/>
        </w:rPr>
      </w:pPr>
    </w:p>
    <w:p w:rsidR="00D70B74" w:rsidRDefault="00D70B74">
      <w:pPr>
        <w:rPr>
          <w:sz w:val="56"/>
          <w:szCs w:val="56"/>
        </w:rPr>
      </w:pPr>
    </w:p>
    <w:p w:rsidR="00D70B74" w:rsidRDefault="00D70B74">
      <w:pPr>
        <w:rPr>
          <w:sz w:val="56"/>
          <w:szCs w:val="56"/>
        </w:rPr>
      </w:pPr>
    </w:p>
    <w:p w:rsidR="00D70B74" w:rsidRDefault="00D70B74">
      <w:pPr>
        <w:rPr>
          <w:sz w:val="56"/>
          <w:szCs w:val="56"/>
        </w:rPr>
      </w:pPr>
    </w:p>
    <w:p w:rsidR="00D70B74" w:rsidRDefault="00D70B74">
      <w:pPr>
        <w:rPr>
          <w:sz w:val="56"/>
          <w:szCs w:val="56"/>
        </w:rPr>
      </w:pPr>
    </w:p>
    <w:p w:rsidR="00D70B74" w:rsidRDefault="00D70B74">
      <w:pPr>
        <w:rPr>
          <w:sz w:val="56"/>
          <w:szCs w:val="56"/>
        </w:rPr>
      </w:pPr>
    </w:p>
    <w:p w:rsidR="00D70B74" w:rsidRDefault="00D70B74">
      <w:pPr>
        <w:rPr>
          <w:sz w:val="56"/>
          <w:szCs w:val="56"/>
        </w:rPr>
      </w:pPr>
    </w:p>
    <w:p w:rsidR="00D70B74" w:rsidRPr="006C298A" w:rsidRDefault="00D70B74">
      <w:pPr>
        <w:rPr>
          <w:sz w:val="56"/>
          <w:szCs w:val="56"/>
        </w:rPr>
      </w:pPr>
    </w:p>
    <w:p w:rsidR="00D70B74" w:rsidRPr="006C298A" w:rsidRDefault="00D70B74" w:rsidP="00137378">
      <w:pPr>
        <w:rPr>
          <w:sz w:val="56"/>
          <w:szCs w:val="56"/>
        </w:rPr>
      </w:pPr>
      <w:r w:rsidRPr="006C298A">
        <w:rPr>
          <w:sz w:val="56"/>
          <w:szCs w:val="56"/>
        </w:rPr>
        <w:t xml:space="preserve">… teachers’ descriptions of practices that were supportive of ELLs: </w:t>
      </w:r>
    </w:p>
    <w:p w:rsidR="00D70B74" w:rsidRDefault="00D70B74" w:rsidP="00137378">
      <w:pPr>
        <w:rPr>
          <w:sz w:val="56"/>
          <w:szCs w:val="56"/>
        </w:rPr>
      </w:pPr>
      <w:r w:rsidRPr="006C298A">
        <w:rPr>
          <w:sz w:val="56"/>
          <w:szCs w:val="56"/>
        </w:rPr>
        <w:tab/>
        <w:t xml:space="preserve">one-on-one conferences with students, </w:t>
      </w:r>
      <w:r w:rsidRPr="006C298A">
        <w:rPr>
          <w:sz w:val="56"/>
          <w:szCs w:val="56"/>
        </w:rPr>
        <w:tab/>
      </w:r>
    </w:p>
    <w:p w:rsidR="00D70B74" w:rsidRPr="006C298A" w:rsidRDefault="00D70B74" w:rsidP="006C298A">
      <w:pPr>
        <w:ind w:firstLine="720"/>
        <w:rPr>
          <w:sz w:val="56"/>
          <w:szCs w:val="56"/>
        </w:rPr>
      </w:pPr>
      <w:r w:rsidRPr="006C298A">
        <w:rPr>
          <w:sz w:val="56"/>
          <w:szCs w:val="56"/>
        </w:rPr>
        <w:t xml:space="preserve">modeling instruction, </w:t>
      </w:r>
    </w:p>
    <w:p w:rsidR="00D70B74" w:rsidRPr="006C298A" w:rsidRDefault="00D70B74" w:rsidP="00137378">
      <w:pPr>
        <w:rPr>
          <w:sz w:val="56"/>
          <w:szCs w:val="56"/>
        </w:rPr>
      </w:pPr>
      <w:r w:rsidRPr="006C298A">
        <w:rPr>
          <w:sz w:val="56"/>
          <w:szCs w:val="56"/>
        </w:rPr>
        <w:tab/>
        <w:t xml:space="preserve">use of the meeting area, </w:t>
      </w:r>
    </w:p>
    <w:p w:rsidR="00D70B74" w:rsidRPr="006C298A" w:rsidRDefault="00D70B74" w:rsidP="00137378">
      <w:pPr>
        <w:tabs>
          <w:tab w:val="left" w:pos="720"/>
        </w:tabs>
        <w:ind w:left="2790" w:hanging="2790"/>
        <w:rPr>
          <w:sz w:val="56"/>
          <w:szCs w:val="56"/>
        </w:rPr>
      </w:pPr>
      <w:r w:rsidRPr="006C298A">
        <w:rPr>
          <w:sz w:val="56"/>
          <w:szCs w:val="56"/>
        </w:rPr>
        <w:tab/>
        <w:t xml:space="preserve">gradual release of students for independent practice, </w:t>
      </w:r>
    </w:p>
    <w:p w:rsidR="00D70B74" w:rsidRPr="006C298A" w:rsidRDefault="00D70B74" w:rsidP="00137378">
      <w:pPr>
        <w:rPr>
          <w:sz w:val="56"/>
          <w:szCs w:val="56"/>
        </w:rPr>
      </w:pPr>
      <w:r w:rsidRPr="006C298A">
        <w:rPr>
          <w:sz w:val="56"/>
          <w:szCs w:val="56"/>
        </w:rPr>
        <w:tab/>
        <w:t xml:space="preserve">personal think time, </w:t>
      </w:r>
    </w:p>
    <w:p w:rsidR="00D70B74" w:rsidRPr="006C298A" w:rsidRDefault="00D70B74" w:rsidP="00137378">
      <w:pPr>
        <w:rPr>
          <w:sz w:val="56"/>
          <w:szCs w:val="56"/>
        </w:rPr>
      </w:pPr>
      <w:r w:rsidRPr="006C298A">
        <w:rPr>
          <w:sz w:val="56"/>
          <w:szCs w:val="56"/>
        </w:rPr>
        <w:tab/>
        <w:t xml:space="preserve">turn and talk, </w:t>
      </w:r>
    </w:p>
    <w:p w:rsidR="00D70B74" w:rsidRPr="006C298A" w:rsidRDefault="00D70B74" w:rsidP="00137378">
      <w:pPr>
        <w:rPr>
          <w:sz w:val="56"/>
          <w:szCs w:val="56"/>
        </w:rPr>
      </w:pPr>
      <w:r w:rsidRPr="006C298A">
        <w:rPr>
          <w:sz w:val="56"/>
          <w:szCs w:val="56"/>
        </w:rPr>
        <w:tab/>
        <w:t xml:space="preserve">common reading strategies, </w:t>
      </w:r>
    </w:p>
    <w:p w:rsidR="00D70B74" w:rsidRPr="006C298A" w:rsidRDefault="00D70B74" w:rsidP="00137378">
      <w:pPr>
        <w:rPr>
          <w:sz w:val="56"/>
          <w:szCs w:val="56"/>
        </w:rPr>
      </w:pPr>
      <w:r w:rsidRPr="006C298A">
        <w:rPr>
          <w:sz w:val="56"/>
          <w:szCs w:val="56"/>
        </w:rPr>
        <w:tab/>
        <w:t>and common note-taking strategies. (458)</w:t>
      </w:r>
    </w:p>
    <w:p w:rsidR="00D70B74" w:rsidRDefault="00D70B74" w:rsidP="00137378">
      <w:pPr>
        <w:autoSpaceDE w:val="0"/>
        <w:autoSpaceDN w:val="0"/>
        <w:adjustRightInd w:val="0"/>
        <w:rPr>
          <w:rFonts w:ascii="AdvPSPAL-R" w:hAnsi="AdvPSPAL-R" w:cs="AdvPSPAL-R"/>
          <w:sz w:val="56"/>
          <w:szCs w:val="56"/>
        </w:rPr>
      </w:pPr>
    </w:p>
    <w:p w:rsidR="00D70B74" w:rsidRDefault="00D70B74" w:rsidP="00137378">
      <w:pPr>
        <w:autoSpaceDE w:val="0"/>
        <w:autoSpaceDN w:val="0"/>
        <w:adjustRightInd w:val="0"/>
        <w:rPr>
          <w:rFonts w:ascii="AdvPSPAL-R" w:hAnsi="AdvPSPAL-R" w:cs="AdvPSPAL-R"/>
          <w:sz w:val="56"/>
          <w:szCs w:val="56"/>
        </w:rPr>
      </w:pPr>
    </w:p>
    <w:p w:rsidR="00D70B74" w:rsidRDefault="00D70B74" w:rsidP="00137378">
      <w:pPr>
        <w:autoSpaceDE w:val="0"/>
        <w:autoSpaceDN w:val="0"/>
        <w:adjustRightInd w:val="0"/>
        <w:rPr>
          <w:rFonts w:ascii="AdvPSPAL-R" w:hAnsi="AdvPSPAL-R" w:cs="AdvPSPAL-R"/>
          <w:sz w:val="56"/>
          <w:szCs w:val="56"/>
        </w:rPr>
      </w:pPr>
    </w:p>
    <w:p w:rsidR="00D70B74" w:rsidRPr="006C298A" w:rsidRDefault="00D70B74" w:rsidP="00137378">
      <w:pPr>
        <w:autoSpaceDE w:val="0"/>
        <w:autoSpaceDN w:val="0"/>
        <w:adjustRightInd w:val="0"/>
        <w:rPr>
          <w:rFonts w:ascii="AdvPSPAL-R" w:hAnsi="AdvPSPAL-R" w:cs="AdvPSPAL-R"/>
          <w:sz w:val="56"/>
          <w:szCs w:val="56"/>
        </w:rPr>
      </w:pPr>
      <w:r w:rsidRPr="006C298A">
        <w:rPr>
          <w:rFonts w:ascii="AdvPSPAL-R" w:hAnsi="AdvPSPAL-R" w:cs="AdvPSPAL-R"/>
          <w:sz w:val="56"/>
          <w:szCs w:val="56"/>
        </w:rPr>
        <w:lastRenderedPageBreak/>
        <w:t xml:space="preserve">Sarah described the literacy team’s thinking and planning: </w:t>
      </w:r>
    </w:p>
    <w:p w:rsidR="00D70B74" w:rsidRPr="006C298A" w:rsidRDefault="00D70B74" w:rsidP="00137378">
      <w:pPr>
        <w:autoSpaceDE w:val="0"/>
        <w:autoSpaceDN w:val="0"/>
        <w:adjustRightInd w:val="0"/>
        <w:rPr>
          <w:rFonts w:ascii="AdvPSPAL-R" w:hAnsi="AdvPSPAL-R" w:cs="AdvPSPAL-R"/>
          <w:sz w:val="56"/>
          <w:szCs w:val="56"/>
        </w:rPr>
      </w:pPr>
    </w:p>
    <w:p w:rsidR="00D70B74" w:rsidRPr="006C298A" w:rsidRDefault="00D70B74" w:rsidP="00137378">
      <w:pPr>
        <w:autoSpaceDE w:val="0"/>
        <w:autoSpaceDN w:val="0"/>
        <w:adjustRightInd w:val="0"/>
        <w:ind w:left="720"/>
        <w:rPr>
          <w:sz w:val="56"/>
          <w:szCs w:val="56"/>
        </w:rPr>
      </w:pPr>
      <w:r w:rsidRPr="006C298A">
        <w:rPr>
          <w:rFonts w:ascii="AdvPSPAL-R" w:hAnsi="AdvPSPAL-R" w:cs="AdvPSPAL-R"/>
          <w:sz w:val="56"/>
          <w:szCs w:val="56"/>
        </w:rPr>
        <w:t xml:space="preserve">Talking about editing and conventions work </w:t>
      </w:r>
      <w:r w:rsidRPr="006C298A">
        <w:rPr>
          <w:rFonts w:ascii="AdvP4C4E5E" w:hAnsi="AdvP4C4E5E" w:cs="AdvP4C4E5E"/>
          <w:sz w:val="56"/>
          <w:szCs w:val="56"/>
        </w:rPr>
        <w:t xml:space="preserve">. . . </w:t>
      </w:r>
      <w:r w:rsidRPr="006C298A">
        <w:rPr>
          <w:rFonts w:ascii="AdvPSPAL-R" w:hAnsi="AdvPSPAL-R" w:cs="AdvPSPAL-R"/>
          <w:sz w:val="56"/>
          <w:szCs w:val="56"/>
        </w:rPr>
        <w:t xml:space="preserve"> Often during the writing process we focus on revision, and then editing is sort of not a focus, but we want to find a way to bring that in more explicitly. (461)</w:t>
      </w:r>
    </w:p>
    <w:p w:rsidR="00D70B74" w:rsidRPr="006C298A" w:rsidRDefault="00D70B74">
      <w:pPr>
        <w:rPr>
          <w:sz w:val="56"/>
          <w:szCs w:val="56"/>
        </w:rPr>
      </w:pPr>
    </w:p>
    <w:p w:rsidR="00D70B74" w:rsidRPr="006C298A" w:rsidRDefault="00D70B74">
      <w:pPr>
        <w:rPr>
          <w:sz w:val="56"/>
          <w:szCs w:val="56"/>
        </w:rPr>
      </w:pPr>
    </w:p>
    <w:sectPr w:rsidR="00D70B74" w:rsidRPr="006C298A" w:rsidSect="0081496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PSPAL-R">
    <w:panose1 w:val="00000000000000000000"/>
    <w:charset w:val="00"/>
    <w:family w:val="roman"/>
    <w:notTrueType/>
    <w:pitch w:val="default"/>
    <w:sig w:usb0="00000003" w:usb1="00000000" w:usb2="00000000" w:usb3="00000000" w:csb0="00000001" w:csb1="00000000"/>
  </w:font>
  <w:font w:name="AdvP4C4E5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96D"/>
    <w:rsid w:val="00104B4A"/>
    <w:rsid w:val="00137378"/>
    <w:rsid w:val="0041431B"/>
    <w:rsid w:val="00550876"/>
    <w:rsid w:val="005D5C1C"/>
    <w:rsid w:val="006C298A"/>
    <w:rsid w:val="00721F94"/>
    <w:rsid w:val="0081496D"/>
    <w:rsid w:val="00AE0F09"/>
    <w:rsid w:val="00D70B74"/>
    <w:rsid w:val="00DF5891"/>
    <w:rsid w:val="00F4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5</cp:revision>
  <dcterms:created xsi:type="dcterms:W3CDTF">2013-02-14T00:24:00Z</dcterms:created>
  <dcterms:modified xsi:type="dcterms:W3CDTF">2013-02-19T18:41:00Z</dcterms:modified>
</cp:coreProperties>
</file>